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6FA2C0D" w14:textId="77777777" w:rsidR="00860CED" w:rsidRDefault="00860CED">
      <w:pPr>
        <w:widowControl w:val="0"/>
      </w:pPr>
      <w:bookmarkStart w:id="0" w:name="_GoBack"/>
      <w:bookmarkEnd w:id="0"/>
    </w:p>
    <w:tbl>
      <w:tblPr>
        <w:tblStyle w:val="a"/>
        <w:tblW w:w="15996" w:type="dxa"/>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4382"/>
        <w:gridCol w:w="498"/>
        <w:gridCol w:w="7"/>
        <w:gridCol w:w="1016"/>
        <w:gridCol w:w="6"/>
        <w:gridCol w:w="754"/>
        <w:gridCol w:w="3399"/>
        <w:gridCol w:w="1096"/>
        <w:gridCol w:w="3563"/>
      </w:tblGrid>
      <w:tr w:rsidR="00860CED" w14:paraId="42114E8B" w14:textId="77777777">
        <w:tc>
          <w:tcPr>
            <w:tcW w:w="1276" w:type="dxa"/>
            <w:vMerge w:val="restart"/>
            <w:tcBorders>
              <w:top w:val="single" w:sz="48" w:space="0" w:color="8DB3E2"/>
              <w:left w:val="single" w:sz="48" w:space="0" w:color="8DB3E2"/>
              <w:right w:val="single" w:sz="18" w:space="0" w:color="8DB3E2"/>
            </w:tcBorders>
            <w:vAlign w:val="center"/>
          </w:tcPr>
          <w:p w14:paraId="7678D49F" w14:textId="77777777" w:rsidR="00860CED" w:rsidRDefault="00B8222F">
            <w:pPr>
              <w:jc w:val="center"/>
            </w:pPr>
            <w:r>
              <w:t xml:space="preserve"> Unit Title:</w:t>
            </w:r>
          </w:p>
        </w:tc>
        <w:tc>
          <w:tcPr>
            <w:tcW w:w="4382" w:type="dxa"/>
            <w:vMerge w:val="restart"/>
            <w:tcBorders>
              <w:top w:val="single" w:sz="48" w:space="0" w:color="8DB3E2"/>
              <w:left w:val="single" w:sz="18" w:space="0" w:color="8DB3E2"/>
              <w:right w:val="single" w:sz="48" w:space="0" w:color="8DB3E2"/>
            </w:tcBorders>
            <w:vAlign w:val="center"/>
          </w:tcPr>
          <w:p w14:paraId="1481D92A" w14:textId="77777777" w:rsidR="00860CED" w:rsidRDefault="00B8222F">
            <w:pPr>
              <w:jc w:val="center"/>
            </w:pPr>
            <w:r>
              <w:rPr>
                <w:sz w:val="40"/>
                <w:szCs w:val="40"/>
              </w:rPr>
              <w:t>Sharing the Planet</w:t>
            </w:r>
          </w:p>
        </w:tc>
        <w:tc>
          <w:tcPr>
            <w:tcW w:w="2281" w:type="dxa"/>
            <w:gridSpan w:val="5"/>
            <w:tcBorders>
              <w:top w:val="single" w:sz="48" w:space="0" w:color="8DB3E2"/>
              <w:left w:val="single" w:sz="48" w:space="0" w:color="8DB3E2"/>
              <w:bottom w:val="single" w:sz="18" w:space="0" w:color="8DB3E2"/>
              <w:right w:val="single" w:sz="18" w:space="0" w:color="8DB3E2"/>
            </w:tcBorders>
            <w:vAlign w:val="center"/>
          </w:tcPr>
          <w:p w14:paraId="5474EE68" w14:textId="77777777" w:rsidR="00860CED" w:rsidRDefault="00B8222F">
            <w:pPr>
              <w:jc w:val="center"/>
            </w:pPr>
            <w:r>
              <w:t>Organizing Theme:</w:t>
            </w:r>
          </w:p>
        </w:tc>
        <w:tc>
          <w:tcPr>
            <w:tcW w:w="3399" w:type="dxa"/>
            <w:tcBorders>
              <w:top w:val="single" w:sz="48" w:space="0" w:color="8DB3E2"/>
              <w:left w:val="single" w:sz="18" w:space="0" w:color="8DB3E2"/>
              <w:bottom w:val="single" w:sz="18" w:space="0" w:color="8DB3E2"/>
              <w:right w:val="single" w:sz="48" w:space="0" w:color="8DB3E2"/>
            </w:tcBorders>
            <w:vAlign w:val="center"/>
          </w:tcPr>
          <w:p w14:paraId="24EAF6EE" w14:textId="77777777" w:rsidR="00860CED" w:rsidRDefault="00B8222F">
            <w:pPr>
              <w:jc w:val="center"/>
            </w:pPr>
            <w:r>
              <w:rPr>
                <w:b/>
              </w:rPr>
              <w:t>Sharing the Planet</w:t>
            </w:r>
          </w:p>
        </w:tc>
        <w:tc>
          <w:tcPr>
            <w:tcW w:w="1096" w:type="dxa"/>
            <w:tcBorders>
              <w:top w:val="single" w:sz="48" w:space="0" w:color="8DB3E2"/>
              <w:left w:val="single" w:sz="48" w:space="0" w:color="8DB3E2"/>
              <w:bottom w:val="single" w:sz="18" w:space="0" w:color="8DB3E2"/>
              <w:right w:val="single" w:sz="18" w:space="0" w:color="8DB3E2"/>
            </w:tcBorders>
            <w:vAlign w:val="center"/>
          </w:tcPr>
          <w:p w14:paraId="650FD88F" w14:textId="77777777" w:rsidR="00860CED" w:rsidRDefault="00B8222F">
            <w:r>
              <w:t xml:space="preserve"> Dates:</w:t>
            </w:r>
          </w:p>
        </w:tc>
        <w:tc>
          <w:tcPr>
            <w:tcW w:w="3563" w:type="dxa"/>
            <w:tcBorders>
              <w:top w:val="single" w:sz="48" w:space="0" w:color="8DB3E2"/>
              <w:left w:val="single" w:sz="18" w:space="0" w:color="8DB3E2"/>
              <w:bottom w:val="single" w:sz="18" w:space="0" w:color="8DB3E2"/>
              <w:right w:val="single" w:sz="48" w:space="0" w:color="8DB3E2"/>
            </w:tcBorders>
            <w:vAlign w:val="center"/>
          </w:tcPr>
          <w:p w14:paraId="2BF3C675" w14:textId="77777777" w:rsidR="00860CED" w:rsidRDefault="00B8222F">
            <w:pPr>
              <w:jc w:val="center"/>
            </w:pPr>
            <w:r>
              <w:rPr>
                <w:b/>
              </w:rPr>
              <w:t>6</w:t>
            </w:r>
            <w:r>
              <w:rPr>
                <w:b/>
                <w:vertAlign w:val="superscript"/>
              </w:rPr>
              <w:t>th</w:t>
            </w:r>
            <w:r>
              <w:rPr>
                <w:b/>
              </w:rPr>
              <w:t xml:space="preserve"> September 2015</w:t>
            </w:r>
          </w:p>
        </w:tc>
      </w:tr>
      <w:tr w:rsidR="00860CED" w14:paraId="2973A43D" w14:textId="77777777">
        <w:tc>
          <w:tcPr>
            <w:tcW w:w="1276" w:type="dxa"/>
            <w:vMerge/>
            <w:tcBorders>
              <w:top w:val="single" w:sz="48" w:space="0" w:color="8DB3E2"/>
              <w:left w:val="single" w:sz="48" w:space="0" w:color="8DB3E2"/>
              <w:right w:val="single" w:sz="18" w:space="0" w:color="8DB3E2"/>
            </w:tcBorders>
            <w:vAlign w:val="center"/>
          </w:tcPr>
          <w:p w14:paraId="2CFF14BF" w14:textId="77777777" w:rsidR="00860CED" w:rsidRDefault="00860CED">
            <w:pPr>
              <w:widowControl w:val="0"/>
              <w:spacing w:line="276" w:lineRule="auto"/>
            </w:pPr>
          </w:p>
        </w:tc>
        <w:tc>
          <w:tcPr>
            <w:tcW w:w="4382" w:type="dxa"/>
            <w:vMerge/>
            <w:tcBorders>
              <w:top w:val="single" w:sz="48" w:space="0" w:color="8DB3E2"/>
              <w:left w:val="single" w:sz="18" w:space="0" w:color="8DB3E2"/>
              <w:right w:val="single" w:sz="48" w:space="0" w:color="8DB3E2"/>
            </w:tcBorders>
            <w:vAlign w:val="center"/>
          </w:tcPr>
          <w:p w14:paraId="50CBAC97" w14:textId="77777777" w:rsidR="00860CED" w:rsidRDefault="00860CED">
            <w:pPr>
              <w:jc w:val="center"/>
            </w:pPr>
          </w:p>
          <w:p w14:paraId="30A90874" w14:textId="77777777" w:rsidR="00860CED" w:rsidRDefault="00860CED"/>
        </w:tc>
        <w:tc>
          <w:tcPr>
            <w:tcW w:w="2281" w:type="dxa"/>
            <w:gridSpan w:val="5"/>
            <w:tcBorders>
              <w:top w:val="single" w:sz="18" w:space="0" w:color="8DB3E2"/>
              <w:left w:val="single" w:sz="48" w:space="0" w:color="8DB3E2"/>
              <w:bottom w:val="single" w:sz="48" w:space="0" w:color="8DB3E2"/>
              <w:right w:val="single" w:sz="18" w:space="0" w:color="8DB3E2"/>
            </w:tcBorders>
            <w:vAlign w:val="center"/>
          </w:tcPr>
          <w:p w14:paraId="5FB61DAF" w14:textId="77777777" w:rsidR="00860CED" w:rsidRDefault="00B8222F">
            <w:pPr>
              <w:jc w:val="center"/>
            </w:pPr>
            <w:r>
              <w:t>Focus:</w:t>
            </w:r>
          </w:p>
        </w:tc>
        <w:tc>
          <w:tcPr>
            <w:tcW w:w="3399" w:type="dxa"/>
            <w:tcBorders>
              <w:top w:val="single" w:sz="18" w:space="0" w:color="8DB3E2"/>
              <w:left w:val="single" w:sz="18" w:space="0" w:color="8DB3E2"/>
              <w:bottom w:val="single" w:sz="48" w:space="0" w:color="8DB3E2"/>
              <w:right w:val="single" w:sz="48" w:space="0" w:color="8DB3E2"/>
            </w:tcBorders>
            <w:vAlign w:val="center"/>
          </w:tcPr>
          <w:p w14:paraId="689DB0B7" w14:textId="77777777" w:rsidR="00860CED" w:rsidRDefault="00B8222F">
            <w:pPr>
              <w:ind w:left="-5" w:firstLine="5"/>
              <w:jc w:val="center"/>
            </w:pPr>
            <w:r>
              <w:rPr>
                <w:b/>
              </w:rPr>
              <w:t>Social Studies, PSPE, Language</w:t>
            </w:r>
          </w:p>
        </w:tc>
        <w:tc>
          <w:tcPr>
            <w:tcW w:w="1096" w:type="dxa"/>
            <w:tcBorders>
              <w:top w:val="single" w:sz="18" w:space="0" w:color="8DB3E2"/>
              <w:left w:val="single" w:sz="48" w:space="0" w:color="8DB3E2"/>
              <w:bottom w:val="single" w:sz="48" w:space="0" w:color="8DB3E2"/>
              <w:right w:val="single" w:sz="18" w:space="0" w:color="8DB3E2"/>
            </w:tcBorders>
            <w:vAlign w:val="center"/>
          </w:tcPr>
          <w:p w14:paraId="04915D23" w14:textId="77777777" w:rsidR="00860CED" w:rsidRDefault="00B8222F">
            <w:pPr>
              <w:jc w:val="center"/>
            </w:pPr>
            <w:r>
              <w:t>Concepts:</w:t>
            </w:r>
          </w:p>
        </w:tc>
        <w:tc>
          <w:tcPr>
            <w:tcW w:w="3563" w:type="dxa"/>
            <w:tcBorders>
              <w:top w:val="single" w:sz="18" w:space="0" w:color="8DB3E2"/>
              <w:left w:val="single" w:sz="18" w:space="0" w:color="8DB3E2"/>
              <w:bottom w:val="single" w:sz="48" w:space="0" w:color="8DB3E2"/>
              <w:right w:val="single" w:sz="48" w:space="0" w:color="8DB3E2"/>
            </w:tcBorders>
            <w:vAlign w:val="center"/>
          </w:tcPr>
          <w:p w14:paraId="57AEB678" w14:textId="77777777" w:rsidR="00860CED" w:rsidRDefault="00B8222F">
            <w:pPr>
              <w:jc w:val="center"/>
            </w:pPr>
            <w:r>
              <w:rPr>
                <w:b/>
                <w:sz w:val="20"/>
                <w:szCs w:val="20"/>
              </w:rPr>
              <w:t>Responsibility, Connection, Perspective</w:t>
            </w:r>
          </w:p>
          <w:p w14:paraId="649B009E" w14:textId="77777777" w:rsidR="00860CED" w:rsidRDefault="00B8222F">
            <w:pPr>
              <w:jc w:val="center"/>
            </w:pPr>
            <w:r>
              <w:rPr>
                <w:b/>
                <w:sz w:val="20"/>
                <w:szCs w:val="20"/>
              </w:rPr>
              <w:t>Related: Peace, Conflict</w:t>
            </w:r>
          </w:p>
        </w:tc>
      </w:tr>
      <w:tr w:rsidR="00860CED" w14:paraId="42283E1D" w14:textId="77777777">
        <w:tc>
          <w:tcPr>
            <w:tcW w:w="1276" w:type="dxa"/>
            <w:vMerge w:val="restart"/>
            <w:tcBorders>
              <w:top w:val="single" w:sz="48" w:space="0" w:color="8DB3E2"/>
              <w:left w:val="single" w:sz="48" w:space="0" w:color="8DB3E2"/>
              <w:right w:val="single" w:sz="18" w:space="0" w:color="8DB3E2"/>
            </w:tcBorders>
            <w:vAlign w:val="center"/>
          </w:tcPr>
          <w:p w14:paraId="54706EC8" w14:textId="77777777" w:rsidR="00860CED" w:rsidRDefault="00B8222F">
            <w:pPr>
              <w:jc w:val="center"/>
            </w:pPr>
            <w:r>
              <w:t xml:space="preserve">Central </w:t>
            </w:r>
          </w:p>
          <w:p w14:paraId="7856D874" w14:textId="77777777" w:rsidR="00860CED" w:rsidRDefault="00B8222F">
            <w:pPr>
              <w:jc w:val="center"/>
            </w:pPr>
            <w:r>
              <w:t>Idea:</w:t>
            </w:r>
          </w:p>
        </w:tc>
        <w:tc>
          <w:tcPr>
            <w:tcW w:w="4382" w:type="dxa"/>
            <w:vMerge w:val="restart"/>
            <w:tcBorders>
              <w:top w:val="single" w:sz="48" w:space="0" w:color="8DB3E2"/>
              <w:left w:val="single" w:sz="18" w:space="0" w:color="8DB3E2"/>
              <w:right w:val="single" w:sz="48" w:space="0" w:color="8DB3E2"/>
            </w:tcBorders>
            <w:vAlign w:val="center"/>
          </w:tcPr>
          <w:p w14:paraId="36BAC643" w14:textId="77777777" w:rsidR="00860CED" w:rsidRDefault="00B8222F">
            <w:r>
              <w:rPr>
                <w:rFonts w:ascii="Quattrocento Sans" w:eastAsia="Quattrocento Sans" w:hAnsi="Quattrocento Sans" w:cs="Quattrocento Sans"/>
                <w:b/>
              </w:rPr>
              <w:t>Relationships and interactions within communities lead to conflict and peace.</w:t>
            </w:r>
          </w:p>
          <w:p w14:paraId="3654D660" w14:textId="77777777" w:rsidR="00860CED" w:rsidRDefault="00860CED"/>
          <w:p w14:paraId="6FB0F923" w14:textId="77777777" w:rsidR="00860CED" w:rsidRDefault="00860CED">
            <w:pPr>
              <w:ind w:left="133"/>
            </w:pPr>
          </w:p>
        </w:tc>
        <w:tc>
          <w:tcPr>
            <w:tcW w:w="498" w:type="dxa"/>
            <w:vMerge w:val="restart"/>
            <w:tcBorders>
              <w:top w:val="single" w:sz="48" w:space="0" w:color="8DB3E2"/>
              <w:left w:val="single" w:sz="48" w:space="0" w:color="8DB3E2"/>
              <w:right w:val="single" w:sz="18" w:space="0" w:color="8DB3E2"/>
            </w:tcBorders>
            <w:vAlign w:val="center"/>
          </w:tcPr>
          <w:p w14:paraId="7352B2DE" w14:textId="77777777" w:rsidR="00860CED" w:rsidRDefault="00B8222F">
            <w:pPr>
              <w:spacing w:line="216" w:lineRule="auto"/>
              <w:ind w:left="113" w:right="113"/>
              <w:jc w:val="center"/>
            </w:pPr>
            <w:r>
              <w:rPr>
                <w:sz w:val="16"/>
                <w:szCs w:val="16"/>
              </w:rPr>
              <w:t>Summative Assessment</w:t>
            </w:r>
          </w:p>
        </w:tc>
        <w:tc>
          <w:tcPr>
            <w:tcW w:w="1029" w:type="dxa"/>
            <w:gridSpan w:val="3"/>
            <w:tcBorders>
              <w:top w:val="single" w:sz="48" w:space="0" w:color="8DB3E2"/>
              <w:left w:val="single" w:sz="18" w:space="0" w:color="8DB3E2"/>
              <w:bottom w:val="single" w:sz="18" w:space="0" w:color="8DB3E2"/>
              <w:right w:val="single" w:sz="18" w:space="0" w:color="8DB3E2"/>
            </w:tcBorders>
            <w:vAlign w:val="center"/>
          </w:tcPr>
          <w:p w14:paraId="46A4D1EE" w14:textId="77777777" w:rsidR="00860CED" w:rsidRDefault="00B8222F">
            <w:pPr>
              <w:jc w:val="center"/>
            </w:pPr>
            <w:r>
              <w:t>Objective:</w:t>
            </w:r>
          </w:p>
        </w:tc>
        <w:tc>
          <w:tcPr>
            <w:tcW w:w="8812" w:type="dxa"/>
            <w:gridSpan w:val="4"/>
            <w:tcBorders>
              <w:top w:val="single" w:sz="48" w:space="0" w:color="8DB3E2"/>
              <w:left w:val="single" w:sz="18" w:space="0" w:color="8DB3E2"/>
              <w:bottom w:val="single" w:sz="18" w:space="0" w:color="8DB3E2"/>
              <w:right w:val="single" w:sz="48" w:space="0" w:color="8DB3E2"/>
            </w:tcBorders>
            <w:vAlign w:val="center"/>
          </w:tcPr>
          <w:p w14:paraId="3C1664DD" w14:textId="77777777" w:rsidR="00860CED" w:rsidRDefault="00B8222F">
            <w:r>
              <w:rPr>
                <w:b/>
              </w:rPr>
              <w:t>Reflect on the effective use of problem-solving strategies by understanding the perspective of self and others when applying the PYP Action Cycl</w:t>
            </w:r>
            <w:r>
              <w:rPr>
                <w:b/>
              </w:rPr>
              <w:t>e (think-act-reflect).</w:t>
            </w:r>
          </w:p>
        </w:tc>
      </w:tr>
      <w:tr w:rsidR="00860CED" w14:paraId="14E1C85C" w14:textId="77777777">
        <w:trPr>
          <w:trHeight w:val="260"/>
        </w:trPr>
        <w:tc>
          <w:tcPr>
            <w:tcW w:w="1276" w:type="dxa"/>
            <w:vMerge/>
            <w:tcBorders>
              <w:top w:val="single" w:sz="48" w:space="0" w:color="8DB3E2"/>
              <w:left w:val="single" w:sz="48" w:space="0" w:color="8DB3E2"/>
              <w:right w:val="single" w:sz="18" w:space="0" w:color="8DB3E2"/>
            </w:tcBorders>
            <w:vAlign w:val="center"/>
          </w:tcPr>
          <w:p w14:paraId="1CE3B17C" w14:textId="77777777" w:rsidR="00860CED" w:rsidRDefault="00860CED">
            <w:pPr>
              <w:widowControl w:val="0"/>
              <w:spacing w:line="276" w:lineRule="auto"/>
            </w:pPr>
          </w:p>
        </w:tc>
        <w:tc>
          <w:tcPr>
            <w:tcW w:w="4382" w:type="dxa"/>
            <w:vMerge/>
            <w:tcBorders>
              <w:top w:val="single" w:sz="48" w:space="0" w:color="8DB3E2"/>
              <w:left w:val="single" w:sz="18" w:space="0" w:color="8DB3E2"/>
              <w:right w:val="single" w:sz="48" w:space="0" w:color="8DB3E2"/>
            </w:tcBorders>
            <w:vAlign w:val="center"/>
          </w:tcPr>
          <w:p w14:paraId="661C9871" w14:textId="77777777" w:rsidR="00860CED" w:rsidRDefault="00860CED">
            <w:pPr>
              <w:widowControl w:val="0"/>
              <w:spacing w:line="276" w:lineRule="auto"/>
            </w:pPr>
          </w:p>
        </w:tc>
        <w:tc>
          <w:tcPr>
            <w:tcW w:w="498" w:type="dxa"/>
            <w:vMerge/>
            <w:tcBorders>
              <w:top w:val="single" w:sz="48" w:space="0" w:color="8DB3E2"/>
              <w:left w:val="single" w:sz="48" w:space="0" w:color="8DB3E2"/>
              <w:right w:val="single" w:sz="18" w:space="0" w:color="8DB3E2"/>
            </w:tcBorders>
            <w:vAlign w:val="center"/>
          </w:tcPr>
          <w:p w14:paraId="7211224E" w14:textId="77777777" w:rsidR="00860CED" w:rsidRDefault="00860CED">
            <w:pPr>
              <w:jc w:val="center"/>
            </w:pPr>
          </w:p>
          <w:p w14:paraId="165E02D3" w14:textId="77777777" w:rsidR="00860CED" w:rsidRDefault="00860CED">
            <w:pPr>
              <w:ind w:left="133" w:hanging="133"/>
            </w:pPr>
          </w:p>
          <w:p w14:paraId="2F9F0F20" w14:textId="77777777" w:rsidR="00860CED" w:rsidRDefault="00860CED">
            <w:pPr>
              <w:jc w:val="center"/>
            </w:pPr>
          </w:p>
        </w:tc>
        <w:tc>
          <w:tcPr>
            <w:tcW w:w="1023" w:type="dxa"/>
            <w:gridSpan w:val="2"/>
            <w:tcBorders>
              <w:top w:val="nil"/>
              <w:left w:val="single" w:sz="18" w:space="0" w:color="8DB3E2"/>
              <w:bottom w:val="single" w:sz="18" w:space="0" w:color="8DB3E2"/>
              <w:right w:val="single" w:sz="18" w:space="0" w:color="8DB3E2"/>
            </w:tcBorders>
            <w:vAlign w:val="center"/>
          </w:tcPr>
          <w:p w14:paraId="04141A7E" w14:textId="77777777" w:rsidR="00860CED" w:rsidRDefault="00B8222F">
            <w:pPr>
              <w:jc w:val="center"/>
            </w:pPr>
            <w:r>
              <w:t>Audience:</w:t>
            </w:r>
          </w:p>
        </w:tc>
        <w:tc>
          <w:tcPr>
            <w:tcW w:w="8818" w:type="dxa"/>
            <w:gridSpan w:val="5"/>
            <w:tcBorders>
              <w:top w:val="nil"/>
              <w:left w:val="single" w:sz="18" w:space="0" w:color="8DB3E2"/>
              <w:bottom w:val="single" w:sz="18" w:space="0" w:color="8DB3E2"/>
              <w:right w:val="single" w:sz="48" w:space="0" w:color="8DB3E2"/>
            </w:tcBorders>
            <w:vAlign w:val="center"/>
          </w:tcPr>
          <w:p w14:paraId="1248FB6A" w14:textId="77777777" w:rsidR="00860CED" w:rsidRDefault="00B8222F">
            <w:r>
              <w:rPr>
                <w:b/>
              </w:rPr>
              <w:t>Teacher, Peers</w:t>
            </w:r>
          </w:p>
        </w:tc>
      </w:tr>
      <w:tr w:rsidR="00860CED" w14:paraId="562CABE3" w14:textId="77777777">
        <w:trPr>
          <w:trHeight w:val="100"/>
        </w:trPr>
        <w:tc>
          <w:tcPr>
            <w:tcW w:w="1276" w:type="dxa"/>
            <w:vMerge/>
            <w:tcBorders>
              <w:top w:val="single" w:sz="48" w:space="0" w:color="8DB3E2"/>
              <w:left w:val="single" w:sz="48" w:space="0" w:color="8DB3E2"/>
              <w:right w:val="single" w:sz="18" w:space="0" w:color="8DB3E2"/>
            </w:tcBorders>
            <w:vAlign w:val="center"/>
          </w:tcPr>
          <w:p w14:paraId="34D02366" w14:textId="77777777" w:rsidR="00860CED" w:rsidRDefault="00860CED">
            <w:pPr>
              <w:widowControl w:val="0"/>
              <w:spacing w:line="276" w:lineRule="auto"/>
            </w:pPr>
          </w:p>
        </w:tc>
        <w:tc>
          <w:tcPr>
            <w:tcW w:w="4382" w:type="dxa"/>
            <w:vMerge/>
            <w:tcBorders>
              <w:top w:val="single" w:sz="48" w:space="0" w:color="8DB3E2"/>
              <w:left w:val="single" w:sz="18" w:space="0" w:color="8DB3E2"/>
              <w:right w:val="single" w:sz="48" w:space="0" w:color="8DB3E2"/>
            </w:tcBorders>
            <w:vAlign w:val="center"/>
          </w:tcPr>
          <w:p w14:paraId="2FEADFD0" w14:textId="77777777" w:rsidR="00860CED" w:rsidRDefault="00860CED">
            <w:pPr>
              <w:widowControl w:val="0"/>
              <w:spacing w:line="276" w:lineRule="auto"/>
            </w:pPr>
          </w:p>
        </w:tc>
        <w:tc>
          <w:tcPr>
            <w:tcW w:w="498" w:type="dxa"/>
            <w:vMerge/>
            <w:tcBorders>
              <w:top w:val="single" w:sz="48" w:space="0" w:color="8DB3E2"/>
              <w:left w:val="single" w:sz="48" w:space="0" w:color="8DB3E2"/>
              <w:right w:val="single" w:sz="18" w:space="0" w:color="8DB3E2"/>
            </w:tcBorders>
            <w:vAlign w:val="center"/>
          </w:tcPr>
          <w:p w14:paraId="60990DA5" w14:textId="77777777" w:rsidR="00860CED" w:rsidRDefault="00860CED">
            <w:pPr>
              <w:jc w:val="center"/>
            </w:pPr>
          </w:p>
          <w:p w14:paraId="6AAD6009" w14:textId="77777777" w:rsidR="00860CED" w:rsidRDefault="00860CED">
            <w:pPr>
              <w:ind w:left="133" w:hanging="133"/>
            </w:pPr>
          </w:p>
          <w:p w14:paraId="184A2518" w14:textId="77777777" w:rsidR="00860CED" w:rsidRDefault="00860CED">
            <w:pPr>
              <w:jc w:val="center"/>
            </w:pPr>
          </w:p>
        </w:tc>
        <w:tc>
          <w:tcPr>
            <w:tcW w:w="1023" w:type="dxa"/>
            <w:gridSpan w:val="2"/>
            <w:tcBorders>
              <w:top w:val="single" w:sz="18" w:space="0" w:color="8DB3E2"/>
              <w:left w:val="single" w:sz="18" w:space="0" w:color="8DB3E2"/>
              <w:bottom w:val="single" w:sz="18" w:space="0" w:color="8DB3E2"/>
              <w:right w:val="single" w:sz="18" w:space="0" w:color="8DB3E2"/>
            </w:tcBorders>
            <w:vAlign w:val="center"/>
          </w:tcPr>
          <w:p w14:paraId="6F7DCBCE" w14:textId="77777777" w:rsidR="00860CED" w:rsidRDefault="00B8222F">
            <w:pPr>
              <w:jc w:val="center"/>
            </w:pPr>
            <w:r>
              <w:t>Product:</w:t>
            </w:r>
          </w:p>
        </w:tc>
        <w:tc>
          <w:tcPr>
            <w:tcW w:w="8818" w:type="dxa"/>
            <w:gridSpan w:val="5"/>
            <w:tcBorders>
              <w:top w:val="single" w:sz="18" w:space="0" w:color="8DB3E2"/>
              <w:left w:val="single" w:sz="18" w:space="0" w:color="8DB3E2"/>
              <w:bottom w:val="single" w:sz="18" w:space="0" w:color="8DB3E2"/>
              <w:right w:val="single" w:sz="48" w:space="0" w:color="8DB3E2"/>
            </w:tcBorders>
            <w:vAlign w:val="center"/>
          </w:tcPr>
          <w:p w14:paraId="48007F9E" w14:textId="77777777" w:rsidR="00860CED" w:rsidRDefault="00B8222F">
            <w:r>
              <w:rPr>
                <w:b/>
              </w:rPr>
              <w:t xml:space="preserve">Students will complete a reflection sheet related to their experience of applying various strategies within the PYP Action Cycle (think-act-reflect). </w:t>
            </w:r>
          </w:p>
        </w:tc>
      </w:tr>
      <w:tr w:rsidR="00860CED" w14:paraId="6F4455E9" w14:textId="77777777">
        <w:trPr>
          <w:trHeight w:val="580"/>
        </w:trPr>
        <w:tc>
          <w:tcPr>
            <w:tcW w:w="1276" w:type="dxa"/>
            <w:vMerge w:val="restart"/>
            <w:tcBorders>
              <w:top w:val="single" w:sz="18" w:space="0" w:color="8DB3E2"/>
              <w:left w:val="single" w:sz="48" w:space="0" w:color="8DB3E2"/>
              <w:right w:val="single" w:sz="18" w:space="0" w:color="8DB3E2"/>
            </w:tcBorders>
            <w:vAlign w:val="center"/>
          </w:tcPr>
          <w:p w14:paraId="0ACAF4FE" w14:textId="77777777" w:rsidR="00860CED" w:rsidRDefault="00B8222F">
            <w:pPr>
              <w:jc w:val="center"/>
            </w:pPr>
            <w:r>
              <w:t xml:space="preserve">Inquiry </w:t>
            </w:r>
          </w:p>
          <w:p w14:paraId="2725595D" w14:textId="77777777" w:rsidR="00860CED" w:rsidRDefault="00B8222F">
            <w:pPr>
              <w:jc w:val="center"/>
            </w:pPr>
            <w:r>
              <w:t>Into:</w:t>
            </w:r>
          </w:p>
        </w:tc>
        <w:tc>
          <w:tcPr>
            <w:tcW w:w="4382" w:type="dxa"/>
            <w:vMerge w:val="restart"/>
            <w:tcBorders>
              <w:top w:val="single" w:sz="18" w:space="0" w:color="8DB3E2"/>
              <w:left w:val="single" w:sz="18" w:space="0" w:color="8DB3E2"/>
              <w:right w:val="single" w:sz="48" w:space="0" w:color="8DB3E2"/>
            </w:tcBorders>
            <w:vAlign w:val="center"/>
          </w:tcPr>
          <w:p w14:paraId="5EE21B40" w14:textId="77777777" w:rsidR="00860CED" w:rsidRDefault="00B8222F">
            <w:pPr>
              <w:numPr>
                <w:ilvl w:val="0"/>
                <w:numId w:val="1"/>
              </w:numPr>
              <w:spacing w:after="72"/>
              <w:ind w:left="360" w:hanging="360"/>
            </w:pPr>
            <w:r>
              <w:rPr>
                <w:rFonts w:ascii="Quattrocento Sans" w:eastAsia="Quattrocento Sans" w:hAnsi="Quattrocento Sans" w:cs="Quattrocento Sans"/>
              </w:rPr>
              <w:t>Peace and Conflict</w:t>
            </w:r>
          </w:p>
          <w:p w14:paraId="233C579E" w14:textId="77777777" w:rsidR="00860CED" w:rsidRDefault="00B8222F">
            <w:pPr>
              <w:numPr>
                <w:ilvl w:val="0"/>
                <w:numId w:val="1"/>
              </w:numPr>
              <w:spacing w:after="72"/>
              <w:ind w:left="360" w:hanging="360"/>
            </w:pPr>
            <w:r>
              <w:rPr>
                <w:rFonts w:ascii="Quattrocento Sans" w:eastAsia="Quattrocento Sans" w:hAnsi="Quattrocento Sans" w:cs="Quattrocento Sans"/>
              </w:rPr>
              <w:t>Appreciating the factors that influence emotions and actions</w:t>
            </w:r>
          </w:p>
          <w:p w14:paraId="5CFA1B6B" w14:textId="77777777" w:rsidR="00860CED" w:rsidRDefault="00B8222F">
            <w:pPr>
              <w:numPr>
                <w:ilvl w:val="0"/>
                <w:numId w:val="1"/>
              </w:numPr>
              <w:spacing w:after="72"/>
              <w:ind w:left="360" w:hanging="360"/>
              <w:rPr>
                <w:b/>
              </w:rPr>
            </w:pPr>
            <w:r>
              <w:rPr>
                <w:rFonts w:ascii="Quattrocento Sans" w:eastAsia="Quattrocento Sans" w:hAnsi="Quattrocento Sans" w:cs="Quattrocento Sans"/>
              </w:rPr>
              <w:t>Our role in resolving conflict and continuing positive action</w:t>
            </w:r>
          </w:p>
        </w:tc>
        <w:tc>
          <w:tcPr>
            <w:tcW w:w="498" w:type="dxa"/>
            <w:vMerge/>
            <w:tcBorders>
              <w:top w:val="single" w:sz="48" w:space="0" w:color="8DB3E2"/>
              <w:left w:val="single" w:sz="48" w:space="0" w:color="8DB3E2"/>
              <w:right w:val="single" w:sz="18" w:space="0" w:color="8DB3E2"/>
            </w:tcBorders>
            <w:vAlign w:val="center"/>
          </w:tcPr>
          <w:p w14:paraId="01FABB9B" w14:textId="77777777" w:rsidR="00860CED" w:rsidRDefault="00860CED">
            <w:pPr>
              <w:jc w:val="center"/>
            </w:pPr>
          </w:p>
        </w:tc>
        <w:tc>
          <w:tcPr>
            <w:tcW w:w="1023" w:type="dxa"/>
            <w:gridSpan w:val="2"/>
            <w:tcBorders>
              <w:top w:val="single" w:sz="18" w:space="0" w:color="8DB3E2"/>
              <w:left w:val="single" w:sz="18" w:space="0" w:color="8DB3E2"/>
              <w:right w:val="single" w:sz="18" w:space="0" w:color="8DB3E2"/>
            </w:tcBorders>
            <w:vAlign w:val="center"/>
          </w:tcPr>
          <w:p w14:paraId="0AFBD3B9" w14:textId="77777777" w:rsidR="00860CED" w:rsidRDefault="00B8222F">
            <w:pPr>
              <w:jc w:val="center"/>
            </w:pPr>
            <w:r>
              <w:t>Success Indicator:</w:t>
            </w:r>
          </w:p>
        </w:tc>
        <w:tc>
          <w:tcPr>
            <w:tcW w:w="8818" w:type="dxa"/>
            <w:gridSpan w:val="5"/>
            <w:tcBorders>
              <w:top w:val="single" w:sz="18" w:space="0" w:color="8DB3E2"/>
              <w:left w:val="single" w:sz="18" w:space="0" w:color="8DB3E2"/>
              <w:right w:val="single" w:sz="48" w:space="0" w:color="8DB3E2"/>
            </w:tcBorders>
            <w:vAlign w:val="center"/>
          </w:tcPr>
          <w:p w14:paraId="79F60C57" w14:textId="77777777" w:rsidR="00860CED" w:rsidRDefault="00B8222F">
            <w:r>
              <w:rPr>
                <w:b/>
              </w:rPr>
              <w:t>Students develop knowledge, skills and attitudes to resolve real life problems effectively.</w:t>
            </w:r>
          </w:p>
        </w:tc>
      </w:tr>
      <w:tr w:rsidR="00860CED" w14:paraId="576D7A13" w14:textId="77777777">
        <w:trPr>
          <w:trHeight w:val="900"/>
        </w:trPr>
        <w:tc>
          <w:tcPr>
            <w:tcW w:w="1276" w:type="dxa"/>
            <w:vMerge/>
            <w:tcBorders>
              <w:top w:val="single" w:sz="18" w:space="0" w:color="8DB3E2"/>
              <w:left w:val="single" w:sz="48" w:space="0" w:color="8DB3E2"/>
              <w:right w:val="single" w:sz="18" w:space="0" w:color="8DB3E2"/>
            </w:tcBorders>
            <w:vAlign w:val="center"/>
          </w:tcPr>
          <w:p w14:paraId="2BA0C75A" w14:textId="77777777" w:rsidR="00860CED" w:rsidRDefault="00860CED">
            <w:pPr>
              <w:widowControl w:val="0"/>
              <w:spacing w:line="276" w:lineRule="auto"/>
            </w:pPr>
          </w:p>
        </w:tc>
        <w:tc>
          <w:tcPr>
            <w:tcW w:w="4382" w:type="dxa"/>
            <w:vMerge/>
            <w:tcBorders>
              <w:top w:val="single" w:sz="18" w:space="0" w:color="8DB3E2"/>
              <w:left w:val="single" w:sz="18" w:space="0" w:color="8DB3E2"/>
              <w:right w:val="single" w:sz="48" w:space="0" w:color="8DB3E2"/>
            </w:tcBorders>
            <w:vAlign w:val="center"/>
          </w:tcPr>
          <w:p w14:paraId="520C9D56" w14:textId="77777777" w:rsidR="00860CED" w:rsidRDefault="00860CED">
            <w:pPr>
              <w:ind w:right="-101"/>
            </w:pPr>
          </w:p>
          <w:p w14:paraId="48FCDDAF" w14:textId="77777777" w:rsidR="00860CED" w:rsidRDefault="00860CED"/>
        </w:tc>
        <w:tc>
          <w:tcPr>
            <w:tcW w:w="505" w:type="dxa"/>
            <w:gridSpan w:val="2"/>
            <w:tcBorders>
              <w:top w:val="single" w:sz="48" w:space="0" w:color="8DB3E2"/>
              <w:left w:val="single" w:sz="48" w:space="0" w:color="8DB3E2"/>
              <w:right w:val="single" w:sz="18" w:space="0" w:color="8DB3E2"/>
            </w:tcBorders>
            <w:vAlign w:val="center"/>
          </w:tcPr>
          <w:p w14:paraId="27D15C91" w14:textId="77777777" w:rsidR="00860CED" w:rsidRDefault="00B8222F">
            <w:pPr>
              <w:ind w:left="104" w:right="113"/>
              <w:jc w:val="center"/>
            </w:pPr>
            <w:r>
              <w:rPr>
                <w:sz w:val="16"/>
                <w:szCs w:val="16"/>
              </w:rPr>
              <w:t>Teacher Questions</w:t>
            </w:r>
          </w:p>
        </w:tc>
        <w:tc>
          <w:tcPr>
            <w:tcW w:w="9834" w:type="dxa"/>
            <w:gridSpan w:val="6"/>
            <w:tcBorders>
              <w:top w:val="single" w:sz="48" w:space="0" w:color="8DB3E2"/>
              <w:left w:val="single" w:sz="18" w:space="0" w:color="8DB3E2"/>
              <w:right w:val="single" w:sz="48" w:space="0" w:color="8DB3E2"/>
            </w:tcBorders>
            <w:tcMar>
              <w:top w:w="57" w:type="dxa"/>
            </w:tcMar>
          </w:tcPr>
          <w:p w14:paraId="25D8DFEC" w14:textId="77777777" w:rsidR="00860CED" w:rsidRDefault="00B8222F">
            <w:r>
              <w:rPr>
                <w:rFonts w:ascii="Arial Narrow" w:eastAsia="Arial Narrow" w:hAnsi="Arial Narrow" w:cs="Arial Narrow"/>
                <w:i/>
              </w:rPr>
              <w:t xml:space="preserve">What is peace? What is conflict? How do they look, sound and feel to you and others? </w:t>
            </w:r>
          </w:p>
          <w:p w14:paraId="0C1331E3" w14:textId="77777777" w:rsidR="00860CED" w:rsidRDefault="00B8222F">
            <w:r>
              <w:rPr>
                <w:rFonts w:ascii="Arial Narrow" w:eastAsia="Arial Narrow" w:hAnsi="Arial Narrow" w:cs="Arial Narrow"/>
                <w:i/>
              </w:rPr>
              <w:t>How might our perspectives cause conflict/peace? What strategies may help resolve conflict (make problems smaller)? How might we promote and maintain peace? Is it possible to be peaceful all the time?</w:t>
            </w:r>
          </w:p>
        </w:tc>
      </w:tr>
      <w:tr w:rsidR="00860CED" w14:paraId="1B96AEE9" w14:textId="77777777">
        <w:tc>
          <w:tcPr>
            <w:tcW w:w="1276" w:type="dxa"/>
            <w:tcBorders>
              <w:top w:val="single" w:sz="48" w:space="0" w:color="8DB3E2"/>
              <w:left w:val="single" w:sz="48" w:space="0" w:color="8DB3E2"/>
              <w:bottom w:val="single" w:sz="18" w:space="0" w:color="8DB3E2"/>
              <w:right w:val="single" w:sz="18" w:space="0" w:color="8DB3E2"/>
            </w:tcBorders>
            <w:shd w:val="clear" w:color="auto" w:fill="8DB3E2"/>
            <w:vAlign w:val="center"/>
          </w:tcPr>
          <w:p w14:paraId="1DF115FA" w14:textId="77777777" w:rsidR="00860CED" w:rsidRDefault="00860CED">
            <w:pPr>
              <w:jc w:val="center"/>
            </w:pPr>
          </w:p>
        </w:tc>
        <w:tc>
          <w:tcPr>
            <w:tcW w:w="14721" w:type="dxa"/>
            <w:gridSpan w:val="9"/>
            <w:tcBorders>
              <w:top w:val="single" w:sz="48" w:space="0" w:color="8DB3E2"/>
              <w:left w:val="single" w:sz="18" w:space="0" w:color="8DB3E2"/>
              <w:bottom w:val="single" w:sz="18" w:space="0" w:color="8DB3E2"/>
              <w:right w:val="single" w:sz="48" w:space="0" w:color="8DB3E2"/>
            </w:tcBorders>
            <w:vAlign w:val="center"/>
          </w:tcPr>
          <w:p w14:paraId="44E4E0F3" w14:textId="77777777" w:rsidR="00860CED" w:rsidRDefault="00B8222F">
            <w:pPr>
              <w:jc w:val="center"/>
            </w:pPr>
            <w:r>
              <w:t xml:space="preserve">Possible learning experiences – these may take place </w:t>
            </w:r>
            <w:r>
              <w:t>in individual subject time, or within the Unit of Inquiry</w:t>
            </w:r>
          </w:p>
        </w:tc>
      </w:tr>
      <w:tr w:rsidR="00860CED" w14:paraId="5F946232" w14:textId="77777777">
        <w:trPr>
          <w:trHeight w:val="680"/>
        </w:trPr>
        <w:tc>
          <w:tcPr>
            <w:tcW w:w="1276" w:type="dxa"/>
            <w:tcBorders>
              <w:top w:val="single" w:sz="18" w:space="0" w:color="8DB3E2"/>
              <w:left w:val="single" w:sz="48" w:space="0" w:color="8DB3E2"/>
              <w:right w:val="single" w:sz="18" w:space="0" w:color="8DB3E2"/>
            </w:tcBorders>
            <w:vAlign w:val="center"/>
          </w:tcPr>
          <w:p w14:paraId="7EC0D1F2" w14:textId="77777777" w:rsidR="00860CED" w:rsidRDefault="00B8222F">
            <w:pPr>
              <w:jc w:val="center"/>
            </w:pPr>
            <w:r>
              <w:rPr>
                <w:b/>
              </w:rPr>
              <w:t>Literacy:</w:t>
            </w:r>
          </w:p>
          <w:p w14:paraId="46431EAF" w14:textId="77777777" w:rsidR="00860CED" w:rsidRDefault="00B8222F">
            <w:pPr>
              <w:jc w:val="center"/>
            </w:pPr>
            <w:r>
              <w:rPr>
                <w:b/>
                <w:i/>
              </w:rPr>
              <w:t>Reading</w:t>
            </w:r>
          </w:p>
        </w:tc>
        <w:tc>
          <w:tcPr>
            <w:tcW w:w="14721" w:type="dxa"/>
            <w:gridSpan w:val="9"/>
            <w:tcBorders>
              <w:top w:val="single" w:sz="18" w:space="0" w:color="8DB3E2"/>
              <w:left w:val="single" w:sz="18" w:space="0" w:color="8DB3E2"/>
              <w:right w:val="single" w:sz="48" w:space="0" w:color="8DB3E2"/>
            </w:tcBorders>
            <w:vAlign w:val="center"/>
          </w:tcPr>
          <w:p w14:paraId="17FCFD76" w14:textId="77777777" w:rsidR="00860CED" w:rsidRDefault="00B8222F">
            <w:r>
              <w:rPr>
                <w:sz w:val="20"/>
                <w:szCs w:val="20"/>
              </w:rPr>
              <w:t xml:space="preserve">Early assessments ascertain individual reading levels to structure an effectively differentiated reading </w:t>
            </w:r>
            <w:proofErr w:type="spellStart"/>
            <w:r>
              <w:rPr>
                <w:sz w:val="20"/>
                <w:szCs w:val="20"/>
              </w:rPr>
              <w:t>programme</w:t>
            </w:r>
            <w:proofErr w:type="spellEnd"/>
            <w:r>
              <w:rPr>
                <w:sz w:val="20"/>
                <w:szCs w:val="20"/>
              </w:rPr>
              <w:t>. Home readers begin once this process is completed. During this Unit of Inquiry, students will explore the structure of stories, reading flue</w:t>
            </w:r>
            <w:r>
              <w:rPr>
                <w:sz w:val="20"/>
                <w:szCs w:val="20"/>
              </w:rPr>
              <w:t xml:space="preserve">ncy and comprehension strategies (making connections, asking questions, predicting how problems might be solved). </w:t>
            </w:r>
          </w:p>
        </w:tc>
      </w:tr>
      <w:tr w:rsidR="00860CED" w14:paraId="0F56D117" w14:textId="77777777">
        <w:trPr>
          <w:trHeight w:val="780"/>
        </w:trPr>
        <w:tc>
          <w:tcPr>
            <w:tcW w:w="1276" w:type="dxa"/>
            <w:tcBorders>
              <w:left w:val="single" w:sz="48" w:space="0" w:color="8DB3E2"/>
              <w:right w:val="single" w:sz="18" w:space="0" w:color="8DB3E2"/>
            </w:tcBorders>
            <w:vAlign w:val="center"/>
          </w:tcPr>
          <w:p w14:paraId="5A87F932" w14:textId="77777777" w:rsidR="00860CED" w:rsidRDefault="00B8222F">
            <w:pPr>
              <w:jc w:val="center"/>
            </w:pPr>
            <w:r>
              <w:rPr>
                <w:b/>
              </w:rPr>
              <w:t>Literacy:</w:t>
            </w:r>
          </w:p>
          <w:p w14:paraId="2D6FD59F" w14:textId="77777777" w:rsidR="00860CED" w:rsidRDefault="00B8222F">
            <w:pPr>
              <w:jc w:val="center"/>
            </w:pPr>
            <w:r>
              <w:rPr>
                <w:b/>
                <w:i/>
              </w:rPr>
              <w:t>Writing</w:t>
            </w:r>
          </w:p>
        </w:tc>
        <w:tc>
          <w:tcPr>
            <w:tcW w:w="14721" w:type="dxa"/>
            <w:gridSpan w:val="9"/>
            <w:tcBorders>
              <w:left w:val="single" w:sz="18" w:space="0" w:color="8DB3E2"/>
              <w:right w:val="single" w:sz="48" w:space="0" w:color="8DB3E2"/>
            </w:tcBorders>
            <w:vAlign w:val="center"/>
          </w:tcPr>
          <w:p w14:paraId="3663022A" w14:textId="77777777" w:rsidR="00860CED" w:rsidRDefault="00B8222F">
            <w:r>
              <w:rPr>
                <w:sz w:val="20"/>
                <w:szCs w:val="20"/>
              </w:rPr>
              <w:t xml:space="preserve">Students will review recounts by writing journal entries and reflection pieces. They will use their own voice to organize recounts related to personal experiences and reflect on understandings linked to the Unit of Inquiry. Throughout the writing process, </w:t>
            </w:r>
            <w:r>
              <w:rPr>
                <w:sz w:val="20"/>
                <w:szCs w:val="20"/>
              </w:rPr>
              <w:t>students will review sentence structure and conventions (capital letters, punctuation, letter formation). Students will identify and describe simple elements of a story (</w:t>
            </w:r>
            <w:proofErr w:type="spellStart"/>
            <w:r>
              <w:rPr>
                <w:sz w:val="20"/>
                <w:szCs w:val="20"/>
              </w:rPr>
              <w:t>eg</w:t>
            </w:r>
            <w:proofErr w:type="spellEnd"/>
            <w:r>
              <w:rPr>
                <w:sz w:val="20"/>
                <w:szCs w:val="20"/>
              </w:rPr>
              <w:t>. Setting, plot, character)</w:t>
            </w:r>
          </w:p>
        </w:tc>
      </w:tr>
      <w:tr w:rsidR="00860CED" w14:paraId="2607892C" w14:textId="77777777">
        <w:trPr>
          <w:trHeight w:val="700"/>
        </w:trPr>
        <w:tc>
          <w:tcPr>
            <w:tcW w:w="1276" w:type="dxa"/>
            <w:tcBorders>
              <w:left w:val="single" w:sz="48" w:space="0" w:color="8DB3E2"/>
              <w:right w:val="single" w:sz="18" w:space="0" w:color="8DB3E2"/>
            </w:tcBorders>
            <w:vAlign w:val="center"/>
          </w:tcPr>
          <w:p w14:paraId="10A00BF1" w14:textId="77777777" w:rsidR="00860CED" w:rsidRDefault="00B8222F">
            <w:pPr>
              <w:jc w:val="center"/>
            </w:pPr>
            <w:r>
              <w:rPr>
                <w:b/>
              </w:rPr>
              <w:t>Math</w:t>
            </w:r>
          </w:p>
        </w:tc>
        <w:tc>
          <w:tcPr>
            <w:tcW w:w="14721" w:type="dxa"/>
            <w:gridSpan w:val="9"/>
            <w:tcBorders>
              <w:left w:val="single" w:sz="18" w:space="0" w:color="8DB3E2"/>
              <w:right w:val="single" w:sz="48" w:space="0" w:color="8DB3E2"/>
            </w:tcBorders>
            <w:vAlign w:val="center"/>
          </w:tcPr>
          <w:p w14:paraId="66F6D2F2" w14:textId="77777777" w:rsidR="00860CED" w:rsidRDefault="00B8222F">
            <w:r>
              <w:rPr>
                <w:rFonts w:ascii="Arial Narrow" w:eastAsia="Arial Narrow" w:hAnsi="Arial Narrow" w:cs="Arial Narrow"/>
                <w:sz w:val="20"/>
                <w:szCs w:val="20"/>
              </w:rPr>
              <w:t>Early Math assessments ensure programming is differentiated to meet student needs. Students begin by collecting data about themselves and their world. They will organize and interpret charts, bar and pictographs, taking time to consider multiple viewpoints</w:t>
            </w:r>
            <w:r>
              <w:rPr>
                <w:rFonts w:ascii="Arial Narrow" w:eastAsia="Arial Narrow" w:hAnsi="Arial Narrow" w:cs="Arial Narrow"/>
                <w:sz w:val="20"/>
                <w:szCs w:val="20"/>
              </w:rPr>
              <w:t xml:space="preserve">. Students will model numbers to 100 or beyond using place value in real life situation and compare whole numbers up to 4 digits. They will be able to recall sing digits doubles and halves independently and will be able to round, estimate whole numbers up </w:t>
            </w:r>
            <w:r>
              <w:rPr>
                <w:rFonts w:ascii="Arial Narrow" w:eastAsia="Arial Narrow" w:hAnsi="Arial Narrow" w:cs="Arial Narrow"/>
                <w:sz w:val="20"/>
                <w:szCs w:val="20"/>
              </w:rPr>
              <w:t>to 3 digits justifying their reasoning.</w:t>
            </w:r>
          </w:p>
        </w:tc>
      </w:tr>
      <w:tr w:rsidR="00860CED" w14:paraId="23F5E0FD" w14:textId="77777777">
        <w:trPr>
          <w:trHeight w:val="600"/>
        </w:trPr>
        <w:tc>
          <w:tcPr>
            <w:tcW w:w="1276" w:type="dxa"/>
            <w:tcBorders>
              <w:left w:val="single" w:sz="48" w:space="0" w:color="8DB3E2"/>
              <w:right w:val="single" w:sz="18" w:space="0" w:color="8DB3E2"/>
            </w:tcBorders>
            <w:vAlign w:val="center"/>
          </w:tcPr>
          <w:p w14:paraId="0A262F1C" w14:textId="77777777" w:rsidR="00860CED" w:rsidRDefault="00B8222F">
            <w:pPr>
              <w:jc w:val="center"/>
            </w:pPr>
            <w:r>
              <w:rPr>
                <w:b/>
              </w:rPr>
              <w:t>I.C.T</w:t>
            </w:r>
          </w:p>
        </w:tc>
        <w:tc>
          <w:tcPr>
            <w:tcW w:w="14721" w:type="dxa"/>
            <w:gridSpan w:val="9"/>
            <w:tcBorders>
              <w:left w:val="single" w:sz="18" w:space="0" w:color="8DB3E2"/>
              <w:right w:val="single" w:sz="48" w:space="0" w:color="8DB3E2"/>
            </w:tcBorders>
            <w:vAlign w:val="center"/>
          </w:tcPr>
          <w:p w14:paraId="75E9FBA4" w14:textId="77777777" w:rsidR="00860CED" w:rsidRDefault="00B8222F">
            <w:r>
              <w:rPr>
                <w:rFonts w:ascii="Arial Narrow" w:eastAsia="Arial Narrow" w:hAnsi="Arial Narrow" w:cs="Arial Narrow"/>
                <w:sz w:val="20"/>
                <w:szCs w:val="20"/>
              </w:rPr>
              <w:t xml:space="preserve">Students will practice basic hardware and software operations such as turn on a computer and login; use a pointing device such as a mouse to manipulate shapes and icons; click on </w:t>
            </w:r>
            <w:proofErr w:type="spellStart"/>
            <w:r>
              <w:rPr>
                <w:rFonts w:ascii="Arial Narrow" w:eastAsia="Arial Narrow" w:hAnsi="Arial Narrow" w:cs="Arial Narrow"/>
                <w:sz w:val="20"/>
                <w:szCs w:val="20"/>
              </w:rPr>
              <w:t>urls</w:t>
            </w:r>
            <w:proofErr w:type="spellEnd"/>
            <w:r>
              <w:rPr>
                <w:rFonts w:ascii="Arial Narrow" w:eastAsia="Arial Narrow" w:hAnsi="Arial Narrow" w:cs="Arial Narrow"/>
                <w:sz w:val="20"/>
                <w:szCs w:val="20"/>
              </w:rPr>
              <w:t>, radio buttons and check boxes; use the scroll bar; use desktop icons, w</w:t>
            </w:r>
            <w:r>
              <w:rPr>
                <w:rFonts w:ascii="Arial Narrow" w:eastAsia="Arial Narrow" w:hAnsi="Arial Narrow" w:cs="Arial Narrow"/>
                <w:sz w:val="20"/>
                <w:szCs w:val="20"/>
              </w:rPr>
              <w:t>indows and menus to open applications and documents and manage their files (saving documents).</w:t>
            </w:r>
          </w:p>
          <w:p w14:paraId="2C67C4CE" w14:textId="77777777" w:rsidR="00860CED" w:rsidRDefault="00B8222F">
            <w:r>
              <w:rPr>
                <w:rFonts w:ascii="Arial Narrow" w:eastAsia="Arial Narrow" w:hAnsi="Arial Narrow" w:cs="Arial Narrow"/>
                <w:sz w:val="20"/>
                <w:szCs w:val="20"/>
              </w:rPr>
              <w:t>Students will research and gather Information through the use of age appropriate technologies to locate, collect, organize content from media collections for spe</w:t>
            </w:r>
            <w:r>
              <w:rPr>
                <w:rFonts w:ascii="Arial Narrow" w:eastAsia="Arial Narrow" w:hAnsi="Arial Narrow" w:cs="Arial Narrow"/>
                <w:sz w:val="20"/>
                <w:szCs w:val="20"/>
              </w:rPr>
              <w:t>cific purposes and citing sources.</w:t>
            </w:r>
          </w:p>
        </w:tc>
      </w:tr>
      <w:tr w:rsidR="00860CED" w14:paraId="6E1C57C2" w14:textId="77777777">
        <w:trPr>
          <w:trHeight w:val="600"/>
        </w:trPr>
        <w:tc>
          <w:tcPr>
            <w:tcW w:w="1276" w:type="dxa"/>
            <w:tcBorders>
              <w:left w:val="single" w:sz="48" w:space="0" w:color="8DB3E2"/>
              <w:right w:val="single" w:sz="18" w:space="0" w:color="8DB3E2"/>
            </w:tcBorders>
            <w:vAlign w:val="center"/>
          </w:tcPr>
          <w:p w14:paraId="2AC50EB2" w14:textId="77777777" w:rsidR="00860CED" w:rsidRDefault="00B8222F">
            <w:pPr>
              <w:jc w:val="center"/>
            </w:pPr>
            <w:r>
              <w:rPr>
                <w:b/>
              </w:rPr>
              <w:t>Arabic</w:t>
            </w:r>
          </w:p>
        </w:tc>
        <w:tc>
          <w:tcPr>
            <w:tcW w:w="14721" w:type="dxa"/>
            <w:gridSpan w:val="9"/>
            <w:tcBorders>
              <w:left w:val="single" w:sz="18" w:space="0" w:color="8DB3E2"/>
              <w:right w:val="single" w:sz="48" w:space="0" w:color="8DB3E2"/>
            </w:tcBorders>
            <w:vAlign w:val="center"/>
          </w:tcPr>
          <w:p w14:paraId="64D192C3" w14:textId="77777777" w:rsidR="00860CED" w:rsidRDefault="00B8222F">
            <w:r>
              <w:rPr>
                <w:b/>
                <w:sz w:val="20"/>
                <w:szCs w:val="20"/>
              </w:rPr>
              <w:t>Arabic A</w:t>
            </w:r>
            <w:r>
              <w:rPr>
                <w:sz w:val="20"/>
                <w:szCs w:val="20"/>
              </w:rPr>
              <w:t>: first unit from ministry book, 1</w:t>
            </w:r>
            <w:r>
              <w:rPr>
                <w:sz w:val="20"/>
                <w:szCs w:val="20"/>
                <w:vertAlign w:val="superscript"/>
              </w:rPr>
              <w:t>st</w:t>
            </w:r>
            <w:r>
              <w:rPr>
                <w:sz w:val="20"/>
                <w:szCs w:val="20"/>
              </w:rPr>
              <w:t xml:space="preserve"> lesson: my sister and me. 2</w:t>
            </w:r>
            <w:r>
              <w:rPr>
                <w:sz w:val="20"/>
                <w:szCs w:val="20"/>
                <w:vertAlign w:val="superscript"/>
              </w:rPr>
              <w:t>nd</w:t>
            </w:r>
            <w:r>
              <w:rPr>
                <w:sz w:val="20"/>
                <w:szCs w:val="20"/>
              </w:rPr>
              <w:t xml:space="preserve"> grammar: how to build up a sentence. Command and navigation. 3</w:t>
            </w:r>
            <w:r>
              <w:rPr>
                <w:sz w:val="20"/>
                <w:szCs w:val="20"/>
                <w:vertAlign w:val="superscript"/>
              </w:rPr>
              <w:t>rd</w:t>
            </w:r>
            <w:r>
              <w:rPr>
                <w:sz w:val="20"/>
                <w:szCs w:val="20"/>
              </w:rPr>
              <w:t xml:space="preserve"> poem: the kids and the sea. 4</w:t>
            </w:r>
            <w:r>
              <w:rPr>
                <w:sz w:val="20"/>
                <w:szCs w:val="20"/>
                <w:vertAlign w:val="superscript"/>
              </w:rPr>
              <w:t>th</w:t>
            </w:r>
            <w:r>
              <w:rPr>
                <w:sz w:val="20"/>
                <w:szCs w:val="20"/>
              </w:rPr>
              <w:t xml:space="preserve"> spelling </w:t>
            </w:r>
          </w:p>
          <w:p w14:paraId="56F82359" w14:textId="77777777" w:rsidR="00860CED" w:rsidRDefault="00B8222F">
            <w:r>
              <w:rPr>
                <w:sz w:val="20"/>
                <w:szCs w:val="20"/>
              </w:rPr>
              <w:t>Sun and moon letters.</w:t>
            </w:r>
          </w:p>
          <w:p w14:paraId="0870E560" w14:textId="77777777" w:rsidR="00860CED" w:rsidRDefault="00B8222F">
            <w:r>
              <w:rPr>
                <w:b/>
                <w:sz w:val="20"/>
                <w:szCs w:val="20"/>
              </w:rPr>
              <w:t>Arabic B</w:t>
            </w:r>
            <w:r>
              <w:rPr>
                <w:sz w:val="20"/>
                <w:szCs w:val="20"/>
              </w:rPr>
              <w:t>.</w:t>
            </w:r>
            <w:r>
              <w:rPr>
                <w:sz w:val="20"/>
                <w:szCs w:val="20"/>
              </w:rPr>
              <w:t xml:space="preserve"> the student will learn: Greeting, how to introduce himself/herself,  to use I like , I want,  class instructions, to read simple word, to define what is peace, to use some </w:t>
            </w:r>
            <w:r>
              <w:rPr>
                <w:sz w:val="20"/>
                <w:szCs w:val="20"/>
              </w:rPr>
              <w:lastRenderedPageBreak/>
              <w:t>verbs like: I live, stand, sit, go, read and write.</w:t>
            </w:r>
          </w:p>
        </w:tc>
      </w:tr>
      <w:tr w:rsidR="00860CED" w14:paraId="6DF26CA2" w14:textId="77777777">
        <w:trPr>
          <w:trHeight w:val="600"/>
        </w:trPr>
        <w:tc>
          <w:tcPr>
            <w:tcW w:w="1276" w:type="dxa"/>
            <w:tcBorders>
              <w:left w:val="single" w:sz="48" w:space="0" w:color="8DB3E2"/>
              <w:right w:val="single" w:sz="18" w:space="0" w:color="8DB3E2"/>
            </w:tcBorders>
            <w:vAlign w:val="center"/>
          </w:tcPr>
          <w:p w14:paraId="505F9D0B" w14:textId="77777777" w:rsidR="00860CED" w:rsidRDefault="00B8222F">
            <w:pPr>
              <w:jc w:val="center"/>
            </w:pPr>
            <w:r>
              <w:rPr>
                <w:b/>
              </w:rPr>
              <w:lastRenderedPageBreak/>
              <w:t>Music</w:t>
            </w:r>
          </w:p>
        </w:tc>
        <w:tc>
          <w:tcPr>
            <w:tcW w:w="14721" w:type="dxa"/>
            <w:gridSpan w:val="9"/>
            <w:tcBorders>
              <w:left w:val="single" w:sz="18" w:space="0" w:color="8DB3E2"/>
              <w:right w:val="single" w:sz="48" w:space="0" w:color="8DB3E2"/>
            </w:tcBorders>
            <w:vAlign w:val="center"/>
          </w:tcPr>
          <w:p w14:paraId="7F189AAA" w14:textId="77777777" w:rsidR="00860CED" w:rsidRDefault="00B8222F">
            <w:r>
              <w:rPr>
                <w:sz w:val="20"/>
                <w:szCs w:val="20"/>
              </w:rPr>
              <w:t>This year in music and s</w:t>
            </w:r>
            <w:r>
              <w:rPr>
                <w:sz w:val="20"/>
                <w:szCs w:val="20"/>
              </w:rPr>
              <w:t>trings our unit is called “Hear, See, Do.” Students are learning that the sound that musicians create is a connection between what they hear, see, and do. Students will inquire about notation, how we approach our instruments (voice, violin, cello, percussi</w:t>
            </w:r>
            <w:r>
              <w:rPr>
                <w:sz w:val="20"/>
                <w:szCs w:val="20"/>
              </w:rPr>
              <w:t>on, etc.), and what to listen for in music.</w:t>
            </w:r>
          </w:p>
        </w:tc>
      </w:tr>
      <w:tr w:rsidR="00860CED" w14:paraId="01B5391B" w14:textId="77777777">
        <w:trPr>
          <w:trHeight w:val="600"/>
        </w:trPr>
        <w:tc>
          <w:tcPr>
            <w:tcW w:w="1276" w:type="dxa"/>
            <w:tcBorders>
              <w:left w:val="single" w:sz="48" w:space="0" w:color="8DB3E2"/>
              <w:right w:val="single" w:sz="18" w:space="0" w:color="8DB3E2"/>
            </w:tcBorders>
            <w:vAlign w:val="center"/>
          </w:tcPr>
          <w:p w14:paraId="083E6CE1" w14:textId="77777777" w:rsidR="00860CED" w:rsidRDefault="00B8222F">
            <w:pPr>
              <w:jc w:val="center"/>
            </w:pPr>
            <w:r>
              <w:rPr>
                <w:b/>
              </w:rPr>
              <w:t>Library</w:t>
            </w:r>
          </w:p>
        </w:tc>
        <w:tc>
          <w:tcPr>
            <w:tcW w:w="14721" w:type="dxa"/>
            <w:gridSpan w:val="9"/>
            <w:tcBorders>
              <w:left w:val="single" w:sz="18" w:space="0" w:color="8DB3E2"/>
              <w:right w:val="single" w:sz="48" w:space="0" w:color="8DB3E2"/>
            </w:tcBorders>
            <w:vAlign w:val="center"/>
          </w:tcPr>
          <w:p w14:paraId="5DE3A81D" w14:textId="77777777" w:rsidR="00860CED" w:rsidRDefault="00B8222F">
            <w:pPr>
              <w:spacing w:line="276" w:lineRule="auto"/>
            </w:pPr>
            <w:r>
              <w:rPr>
                <w:rFonts w:ascii="Cambria" w:eastAsia="Cambria" w:hAnsi="Cambria" w:cs="Cambria"/>
                <w:sz w:val="20"/>
                <w:szCs w:val="20"/>
                <w:highlight w:val="white"/>
              </w:rPr>
              <w:t xml:space="preserve">Students will enjoy read </w:t>
            </w:r>
            <w:proofErr w:type="spellStart"/>
            <w:r>
              <w:rPr>
                <w:rFonts w:ascii="Cambria" w:eastAsia="Cambria" w:hAnsi="Cambria" w:cs="Cambria"/>
                <w:sz w:val="20"/>
                <w:szCs w:val="20"/>
                <w:highlight w:val="white"/>
              </w:rPr>
              <w:t>alouds</w:t>
            </w:r>
            <w:proofErr w:type="spellEnd"/>
            <w:r>
              <w:rPr>
                <w:rFonts w:ascii="Cambria" w:eastAsia="Cambria" w:hAnsi="Cambria" w:cs="Cambria"/>
                <w:sz w:val="20"/>
                <w:szCs w:val="20"/>
                <w:highlight w:val="white"/>
              </w:rPr>
              <w:t xml:space="preserve"> and be exposed to new literature, series and authors. They will orient themselves within the library, reviewing skills related to: different sections within the library, c</w:t>
            </w:r>
            <w:r>
              <w:rPr>
                <w:rFonts w:ascii="Cambria" w:eastAsia="Cambria" w:hAnsi="Cambria" w:cs="Cambria"/>
                <w:sz w:val="20"/>
                <w:szCs w:val="20"/>
                <w:highlight w:val="white"/>
              </w:rPr>
              <w:t>hecking out books; fiction and non-fiction sections and locating books(fiction section); and searching Destiny for books of interest</w:t>
            </w:r>
          </w:p>
        </w:tc>
      </w:tr>
      <w:tr w:rsidR="00860CED" w14:paraId="7E89C218" w14:textId="77777777">
        <w:trPr>
          <w:trHeight w:val="600"/>
        </w:trPr>
        <w:tc>
          <w:tcPr>
            <w:tcW w:w="1276" w:type="dxa"/>
            <w:tcBorders>
              <w:left w:val="single" w:sz="48" w:space="0" w:color="8DB3E2"/>
              <w:right w:val="single" w:sz="18" w:space="0" w:color="8DB3E2"/>
            </w:tcBorders>
            <w:vAlign w:val="center"/>
          </w:tcPr>
          <w:p w14:paraId="205C68BF" w14:textId="77777777" w:rsidR="00860CED" w:rsidRDefault="00B8222F">
            <w:pPr>
              <w:jc w:val="center"/>
            </w:pPr>
            <w:r>
              <w:rPr>
                <w:b/>
              </w:rPr>
              <w:t>P.E.</w:t>
            </w:r>
          </w:p>
        </w:tc>
        <w:tc>
          <w:tcPr>
            <w:tcW w:w="14721" w:type="dxa"/>
            <w:gridSpan w:val="9"/>
            <w:tcBorders>
              <w:left w:val="single" w:sz="18" w:space="0" w:color="8DB3E2"/>
              <w:right w:val="single" w:sz="48" w:space="0" w:color="8DB3E2"/>
            </w:tcBorders>
            <w:vAlign w:val="center"/>
          </w:tcPr>
          <w:p w14:paraId="142B3A1D" w14:textId="77777777" w:rsidR="00860CED" w:rsidRDefault="00B8222F">
            <w:r>
              <w:rPr>
                <w:sz w:val="20"/>
                <w:szCs w:val="20"/>
              </w:rPr>
              <w:t xml:space="preserve">Invasion Games: Students will </w:t>
            </w:r>
            <w:proofErr w:type="gramStart"/>
            <w:r>
              <w:rPr>
                <w:sz w:val="20"/>
                <w:szCs w:val="20"/>
              </w:rPr>
              <w:t>beginning</w:t>
            </w:r>
            <w:proofErr w:type="gramEnd"/>
            <w:r>
              <w:rPr>
                <w:sz w:val="20"/>
                <w:szCs w:val="20"/>
              </w:rPr>
              <w:t xml:space="preserve"> to learn a variety of rules and change various equipment to match the sport.  They will be able to demonstrate basic special awareness and basic teamwork skills.</w:t>
            </w:r>
          </w:p>
          <w:p w14:paraId="59612308" w14:textId="77777777" w:rsidR="00860CED" w:rsidRDefault="00B8222F">
            <w:r>
              <w:rPr>
                <w:sz w:val="20"/>
                <w:szCs w:val="20"/>
              </w:rPr>
              <w:t xml:space="preserve">Dance: Students will demonstrate a proper response to </w:t>
            </w:r>
            <w:r>
              <w:rPr>
                <w:sz w:val="20"/>
                <w:szCs w:val="20"/>
              </w:rPr>
              <w:t>tempos.  They will start to develop matching, mirroring, and shadowing skills.</w:t>
            </w:r>
          </w:p>
        </w:tc>
      </w:tr>
      <w:tr w:rsidR="00860CED" w14:paraId="71A961DE" w14:textId="77777777">
        <w:trPr>
          <w:trHeight w:val="600"/>
        </w:trPr>
        <w:tc>
          <w:tcPr>
            <w:tcW w:w="1276" w:type="dxa"/>
            <w:tcBorders>
              <w:left w:val="single" w:sz="48" w:space="0" w:color="8DB3E2"/>
              <w:right w:val="single" w:sz="18" w:space="0" w:color="8DB3E2"/>
            </w:tcBorders>
            <w:vAlign w:val="center"/>
          </w:tcPr>
          <w:p w14:paraId="05E80AE8" w14:textId="77777777" w:rsidR="00860CED" w:rsidRDefault="00B8222F">
            <w:pPr>
              <w:jc w:val="center"/>
            </w:pPr>
            <w:r>
              <w:rPr>
                <w:b/>
              </w:rPr>
              <w:t>The Arts</w:t>
            </w:r>
          </w:p>
        </w:tc>
        <w:tc>
          <w:tcPr>
            <w:tcW w:w="14721" w:type="dxa"/>
            <w:gridSpan w:val="9"/>
            <w:tcBorders>
              <w:left w:val="single" w:sz="18" w:space="0" w:color="8DB3E2"/>
              <w:right w:val="single" w:sz="48" w:space="0" w:color="8DB3E2"/>
            </w:tcBorders>
            <w:vAlign w:val="center"/>
          </w:tcPr>
          <w:p w14:paraId="31F7273F" w14:textId="77777777" w:rsidR="00860CED" w:rsidRDefault="00B8222F">
            <w:bookmarkStart w:id="1" w:name="_gjdgxs" w:colFirst="0" w:colLast="0"/>
            <w:bookmarkEnd w:id="1"/>
            <w:r>
              <w:rPr>
                <w:sz w:val="20"/>
                <w:szCs w:val="20"/>
              </w:rPr>
              <w:t xml:space="preserve">Students will become familiar with the art room expectations, routines and materials.  In the first month of school, students will focus on self-management and social </w:t>
            </w:r>
            <w:r>
              <w:rPr>
                <w:sz w:val="20"/>
                <w:szCs w:val="20"/>
              </w:rPr>
              <w:t xml:space="preserve">skills as they work individually and collaboratively on their art work.  Art students will learn strategies to discuss how to solve problems that arise in their art, and look at such moments as opportunities to make improvements or to develop a new idea. </w:t>
            </w:r>
          </w:p>
        </w:tc>
      </w:tr>
    </w:tbl>
    <w:p w14:paraId="0A1C7484" w14:textId="77777777" w:rsidR="00860CED" w:rsidRDefault="00860CED"/>
    <w:sectPr w:rsidR="00860CED">
      <w:footerReference w:type="default" r:id="rId7"/>
      <w:pgSz w:w="16838" w:h="11906"/>
      <w:pgMar w:top="284" w:right="720" w:bottom="142"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7A946" w14:textId="77777777" w:rsidR="00B8222F" w:rsidRDefault="00B8222F">
      <w:pPr>
        <w:spacing w:line="240" w:lineRule="auto"/>
      </w:pPr>
      <w:r>
        <w:separator/>
      </w:r>
    </w:p>
  </w:endnote>
  <w:endnote w:type="continuationSeparator" w:id="0">
    <w:p w14:paraId="0144899F" w14:textId="77777777" w:rsidR="00B8222F" w:rsidRDefault="00B82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Quattrocento Sans">
    <w:altName w:val="Times New Roman"/>
    <w:charset w:val="00"/>
    <w:family w:val="auto"/>
    <w:pitch w:val="default"/>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E4BDF" w14:textId="77777777" w:rsidR="00860CED" w:rsidRDefault="00B8222F">
    <w:pPr>
      <w:tabs>
        <w:tab w:val="center" w:pos="4680"/>
        <w:tab w:val="right" w:pos="9360"/>
      </w:tabs>
      <w:spacing w:after="708" w:line="240" w:lineRule="auto"/>
    </w:pPr>
    <w:r>
      <w:t>Grade 2 October 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B0EA1" w14:textId="77777777" w:rsidR="00B8222F" w:rsidRDefault="00B8222F">
      <w:pPr>
        <w:spacing w:line="240" w:lineRule="auto"/>
      </w:pPr>
      <w:r>
        <w:separator/>
      </w:r>
    </w:p>
  </w:footnote>
  <w:footnote w:type="continuationSeparator" w:id="0">
    <w:p w14:paraId="3A0AAC3C" w14:textId="77777777" w:rsidR="00B8222F" w:rsidRDefault="00B8222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026723"/>
    <w:multiLevelType w:val="multilevel"/>
    <w:tmpl w:val="06042824"/>
    <w:lvl w:ilvl="0">
      <w:start w:val="1"/>
      <w:numFmt w:val="bullet"/>
      <w:lvlText w:val="▪"/>
      <w:lvlJc w:val="left"/>
      <w:pPr>
        <w:ind w:left="720" w:firstLine="360"/>
      </w:pPr>
      <w:rPr>
        <w:rFonts w:ascii="Arial" w:eastAsia="Arial" w:hAnsi="Arial" w:cs="Arial"/>
        <w:sz w:val="20"/>
        <w:szCs w:val="2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60CED"/>
    <w:rsid w:val="00860CED"/>
    <w:rsid w:val="00B8222F"/>
    <w:rsid w:val="00CF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06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Ind w:w="0" w:type="dxa"/>
      <w:tblCellMar>
        <w:top w:w="0" w:type="dxa"/>
        <w:left w:w="57" w:type="dxa"/>
        <w:bottom w:w="0"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4486</Characters>
  <Application>Microsoft Macintosh Word</Application>
  <DocSecurity>0</DocSecurity>
  <Lines>37</Lines>
  <Paragraphs>10</Paragraphs>
  <ScaleCrop>false</ScaleCrop>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2016-09-18T05:00:00Z</dcterms:created>
  <dcterms:modified xsi:type="dcterms:W3CDTF">2016-09-18T05:00:00Z</dcterms:modified>
</cp:coreProperties>
</file>